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312588" w:rsidRPr="009F5973" w:rsidRDefault="00312588" w:rsidP="00312588">
      <w:pPr>
        <w:tabs>
          <w:tab w:val="left" w:pos="14656"/>
        </w:tabs>
        <w:jc w:val="center"/>
        <w:rPr>
          <w:b/>
          <w:lang w:eastAsia="lt-LT"/>
        </w:rPr>
      </w:pPr>
      <w:r w:rsidRPr="009F5973">
        <w:rPr>
          <w:b/>
          <w:lang w:eastAsia="lt-LT"/>
        </w:rPr>
        <w:t>KLAIPĖDOS SUAUGUSIŲJŲ GIMNAZIJOS</w:t>
      </w:r>
    </w:p>
    <w:p w:rsidR="00832CC9" w:rsidRDefault="00312588" w:rsidP="00312588">
      <w:pPr>
        <w:jc w:val="center"/>
        <w:rPr>
          <w:b/>
          <w:lang w:eastAsia="lt-LT"/>
        </w:rPr>
      </w:pPr>
      <w:r w:rsidRPr="009F5973">
        <w:rPr>
          <w:b/>
          <w:lang w:eastAsia="lt-LT"/>
        </w:rPr>
        <w:t>2021 METŲ VEIKLOS ATASKAITA</w:t>
      </w:r>
    </w:p>
    <w:p w:rsidR="00312588" w:rsidRPr="00F72A1E" w:rsidRDefault="00312588" w:rsidP="00312588">
      <w:pPr>
        <w:jc w:val="center"/>
      </w:pPr>
    </w:p>
    <w:p w:rsidR="000758DC" w:rsidRPr="009F5973" w:rsidRDefault="000758DC" w:rsidP="009D2C16">
      <w:pPr>
        <w:ind w:firstLine="599"/>
        <w:jc w:val="both"/>
        <w:rPr>
          <w:strike/>
        </w:rPr>
      </w:pPr>
      <w:r w:rsidRPr="009F5973">
        <w:t xml:space="preserve">Klaipėdos suaugusiųjų gimnazija (toliau – Gimnazija) įgyvendina jaunimo pagrindinio ugdymo, suaugusiųjų pagrindinio ir vidurinio ugdymo, neformaliojo švietimo programas, organizuoja jaunimo klasių skyriaus ugdomąją veiklą. </w:t>
      </w:r>
      <w:r>
        <w:t>2</w:t>
      </w:r>
      <w:r w:rsidRPr="009F5973">
        <w:t xml:space="preserve">021-09-01 duomenimis Gimnazijoje ugdyti 272 mokiniai (2020 m. – 255), iš jų – 10 mokinių 5–8 klasėse, 262 mokinių – I–IV klasėse. Dirbo 36 pedagogai, t. y. 33,08 etato (2020 m. – 33,65  etato), ir 13 nepedagoginių darbuotojų, t. y. 21,50 etato (2020 m. – 23,0. etato). </w:t>
      </w:r>
    </w:p>
    <w:p w:rsidR="000758DC" w:rsidRPr="009F5973" w:rsidRDefault="000758DC" w:rsidP="009D2C16">
      <w:pPr>
        <w:tabs>
          <w:tab w:val="left" w:pos="924"/>
        </w:tabs>
        <w:ind w:firstLine="603"/>
        <w:jc w:val="both"/>
      </w:pPr>
      <w:r w:rsidRPr="009F5973">
        <w:t>Praėjusiais metais Gimnazija veikė, vadovaudamasi 2020–2022 m. strateginiu planu (toliau – Strateginis planas) ir 2021 m. veiklos planu (toliau – Veiklos planas). 2021 m. prioritetas – 1. Mokymosi pagalbos įvairių poreikių mokiniams stiprinimas siekiant individualias</w:t>
      </w:r>
      <w:r>
        <w:t xml:space="preserve"> ir</w:t>
      </w:r>
      <w:r w:rsidRPr="009F5973">
        <w:t xml:space="preserve"> mokinio galias atitinkančios ugdymo(si)pažangos. 2. Saugios, sveikos, partneryste grįstos ugdymosi aplinkos, lemiančios gerą mokinių ir mokytojų savijautą gimnazijoje, kūrimas. Strateginiame ir Veiklos planuose buvo iškelti konkretūs veiklos tikslai ir uždaviniai, numatytos pamatuotos priemonės laukiamam rezultatui pasiekti.</w:t>
      </w:r>
    </w:p>
    <w:p w:rsidR="000758DC" w:rsidRDefault="000758DC" w:rsidP="009D2C16">
      <w:pPr>
        <w:tabs>
          <w:tab w:val="left" w:pos="924"/>
        </w:tabs>
        <w:ind w:firstLine="603"/>
        <w:jc w:val="both"/>
        <w:rPr>
          <w:lang w:eastAsia="lt-LT"/>
        </w:rPr>
      </w:pPr>
      <w:r w:rsidRPr="009F5973">
        <w:t xml:space="preserve">Siekiant Strateginio plano tikslo – užtikrinti kokybišką ugdymo proceso organizavimą, numatyti </w:t>
      </w:r>
      <w:r>
        <w:t xml:space="preserve">2 </w:t>
      </w:r>
      <w:r w:rsidRPr="009F5973">
        <w:t>Veiklos plano tikslai</w:t>
      </w:r>
      <w:r>
        <w:t xml:space="preserve">. </w:t>
      </w:r>
      <w:r w:rsidRPr="009F5973">
        <w:t>1.</w:t>
      </w:r>
      <w:r w:rsidRPr="00520453">
        <w:t xml:space="preserve"> </w:t>
      </w:r>
      <w:r>
        <w:t>t</w:t>
      </w:r>
      <w:r w:rsidRPr="00520453">
        <w:t xml:space="preserve">ikslas </w:t>
      </w:r>
      <w:r>
        <w:t>– g</w:t>
      </w:r>
      <w:r w:rsidRPr="009F5973">
        <w:t>erinti ugdymo kokybę, tobulinant ir modernizuojant ugdymo(si) procesą</w:t>
      </w:r>
      <w:r>
        <w:t xml:space="preserve">. </w:t>
      </w:r>
      <w:r w:rsidRPr="009F5973">
        <w:t>Uždaviniai: 1. Gerinti mokinių mokymosi motyvaciją, tobulinant mokytojų kompiuterinio raštingumo gebėjimus ir skaitmenines didaktines kompetencijas, skatinant mokytojus bendradarbiauti. 2. Teikti veiksmingą pagalbą įvairių gebėjimų mokiniams, mokymosi praradimams kompensuoti. 2</w:t>
      </w:r>
      <w:r>
        <w:t xml:space="preserve"> tikslas</w:t>
      </w:r>
      <w:r w:rsidRPr="009F5973">
        <w:t xml:space="preserve"> </w:t>
      </w:r>
      <w:r>
        <w:t>–</w:t>
      </w:r>
      <w:r w:rsidRPr="009F5973">
        <w:t xml:space="preserve"> </w:t>
      </w:r>
      <w:r>
        <w:t>p</w:t>
      </w:r>
      <w:r w:rsidRPr="009F5973">
        <w:rPr>
          <w:lang w:eastAsia="lt-LT"/>
        </w:rPr>
        <w:t>uoselėti saugios, partnerystės grįstas ugdymo(si) aplinkas, skatinančias bendruomenės narių lyderystę ir savarankiškumą</w:t>
      </w:r>
      <w:r>
        <w:rPr>
          <w:lang w:eastAsia="lt-LT"/>
        </w:rPr>
        <w:t xml:space="preserve">. </w:t>
      </w:r>
      <w:r w:rsidRPr="009F5973">
        <w:t>Uždaviniai: 1.</w:t>
      </w:r>
      <w:r w:rsidRPr="009F5973">
        <w:rPr>
          <w:rFonts w:ascii="Arial" w:hAnsi="Arial" w:cs="Arial"/>
          <w:sz w:val="30"/>
          <w:szCs w:val="30"/>
          <w:lang w:eastAsia="lt-LT"/>
        </w:rPr>
        <w:t xml:space="preserve"> </w:t>
      </w:r>
      <w:r w:rsidRPr="009F5973">
        <w:rPr>
          <w:lang w:eastAsia="lt-LT"/>
        </w:rPr>
        <w:t>Plėtoti veiklas, kuriančias aktyvią, bendradarbiaujančią, ir saugią bendruomenę. 2.Kurti modernią, funkcionalią, atitinkančią mokinių poreikius ir interesus</w:t>
      </w:r>
      <w:r>
        <w:rPr>
          <w:lang w:eastAsia="lt-LT"/>
        </w:rPr>
        <w:t xml:space="preserve">, </w:t>
      </w:r>
      <w:r w:rsidRPr="009F5973">
        <w:rPr>
          <w:lang w:eastAsia="lt-LT"/>
        </w:rPr>
        <w:t>mokymosi aplinką.</w:t>
      </w:r>
    </w:p>
    <w:p w:rsidR="000758DC" w:rsidRDefault="000758DC" w:rsidP="009D2C16">
      <w:pPr>
        <w:tabs>
          <w:tab w:val="left" w:pos="924"/>
        </w:tabs>
        <w:ind w:firstLine="603"/>
        <w:jc w:val="both"/>
        <w:rPr>
          <w:lang w:eastAsia="lt-LT"/>
        </w:rPr>
      </w:pPr>
      <w:r w:rsidRPr="009F5973">
        <w:t>Įgyvendinant iškeltus uždavinius, kryptingai patobulintos pedagogų (100 proc.) skaitmeninio raštingumo, nuotolinio ugdymo organizavimo, specialiųjų ugdymosi poreikių turinčių mokinių ugdymo,</w:t>
      </w:r>
      <w:r w:rsidRPr="009F5973">
        <w:rPr>
          <w:rFonts w:ascii="Arial" w:hAnsi="Arial" w:cs="Arial"/>
          <w:sz w:val="30"/>
          <w:szCs w:val="30"/>
        </w:rPr>
        <w:t xml:space="preserve"> </w:t>
      </w:r>
      <w:r w:rsidRPr="009F5973">
        <w:t xml:space="preserve">užduočių skirtingų gebėjimų mokiniams kūrimo, inovatyvių metodų taikymo, </w:t>
      </w:r>
      <w:r w:rsidRPr="009F5973">
        <w:rPr>
          <w:lang w:eastAsia="lt-LT"/>
        </w:rPr>
        <w:t xml:space="preserve">netradicinių erdvių įtakos mokinių ugdymo kokybei, komandinio darbo tobulinimo, naujų technologijų valdymo, </w:t>
      </w:r>
      <w:r w:rsidRPr="009F5973">
        <w:rPr>
          <w:color w:val="000000"/>
        </w:rPr>
        <w:t>savikontrolės ir streso valdymo</w:t>
      </w:r>
      <w:r w:rsidRPr="009F5973">
        <w:rPr>
          <w:lang w:eastAsia="lt-LT"/>
        </w:rPr>
        <w:t xml:space="preserve"> kompetencijos</w:t>
      </w:r>
      <w:r w:rsidRPr="009F5973">
        <w:t>. Buvo organizuoti</w:t>
      </w:r>
      <w:r>
        <w:t xml:space="preserve"> </w:t>
      </w:r>
      <w:r w:rsidRPr="009F5973">
        <w:t>7 pedagogų mokymai (seminarai „Įgūdžių tobulin</w:t>
      </w:r>
      <w:r>
        <w:t>imo dirbtuvės su Microsoft Offic</w:t>
      </w:r>
      <w:r w:rsidRPr="009F5973">
        <w:t>e 365“: nuo – iki“; „Virtualumo ir interaktyvumo paieškos: skaitmeniniai įrankiai šiuolaikiškų pamokų organizavimui“)</w:t>
      </w:r>
      <w:r>
        <w:t xml:space="preserve">. </w:t>
      </w:r>
      <w:r w:rsidRPr="009F5973">
        <w:rPr>
          <w:lang w:eastAsia="lt-LT"/>
        </w:rPr>
        <w:t>Organizavus ugdymo procesą nuotoliniu būdu, 95 proc. mokytojų tikslingai tobulino IKT gebėjimus ir emocinį-psichologinį atsparumą. Pedagogo asmeninei ir socialinei sėkmei kvalifikacijos sričių ir formų įvairovė sustiprin</w:t>
      </w:r>
      <w:r>
        <w:rPr>
          <w:lang w:eastAsia="lt-LT"/>
        </w:rPr>
        <w:t>o</w:t>
      </w:r>
      <w:r w:rsidRPr="009F5973">
        <w:rPr>
          <w:lang w:eastAsia="lt-LT"/>
        </w:rPr>
        <w:t xml:space="preserve"> pedagogo norą tobulintis, jo pasitenkinimą tobulinimosi rezultatais ir jų diegimo profesinėje veikloje sėkm</w:t>
      </w:r>
      <w:r>
        <w:rPr>
          <w:lang w:eastAsia="lt-LT"/>
        </w:rPr>
        <w:t>ę</w:t>
      </w:r>
      <w:r w:rsidRPr="009F5973">
        <w:rPr>
          <w:lang w:eastAsia="lt-LT"/>
        </w:rPr>
        <w:t xml:space="preserve">. Tai leido geriau organizuoti šiuolaikinę pamoką, naudojant skaitmeninius įrankius. Padidėjo mokinių motyvacija. </w:t>
      </w:r>
    </w:p>
    <w:p w:rsidR="000758DC" w:rsidRDefault="000758DC" w:rsidP="009D2C16">
      <w:pPr>
        <w:tabs>
          <w:tab w:val="left" w:pos="924"/>
        </w:tabs>
        <w:ind w:firstLine="603"/>
        <w:jc w:val="both"/>
      </w:pPr>
      <w:r w:rsidRPr="009F5973">
        <w:t>Gimnazijos veikla buvo orientuojama į mokinių ugdymosi ir saviraiškos poreikių tenkinimą, pagalbos mokiniui teikimą. Aktyvus buvo mokytojų bendravimas ir bendradarbiavimas, skatinant mokinių mokymosi motyvaciją. Vestos 24 integruotos pamokos (2020 m. – 12)</w:t>
      </w:r>
      <w:r w:rsidRPr="009F5973">
        <w:rPr>
          <w:b/>
        </w:rPr>
        <w:t>,</w:t>
      </w:r>
      <w:r w:rsidRPr="009F5973">
        <w:t xml:space="preserve"> organizuota 18 gerosios patirties sklaidos renginių (2020 m. – 6), pamokose taikyti inovatyvūs metodai ir formos (patyriminis ugdymas, pamokos vedamos išorinėse edukacinėse aplinkose), organizuota saviraiškos poreikius tenkinančių neformaliojo švietimo veiklų (dalyvavo 50 proc. mokinių, 2020 m. 45 proc. ). </w:t>
      </w:r>
    </w:p>
    <w:p w:rsidR="000758DC" w:rsidRDefault="000758DC" w:rsidP="009D2C16">
      <w:pPr>
        <w:tabs>
          <w:tab w:val="left" w:pos="924"/>
        </w:tabs>
        <w:ind w:firstLine="603"/>
        <w:jc w:val="both"/>
        <w:rPr>
          <w:lang w:eastAsia="lt-LT"/>
        </w:rPr>
      </w:pPr>
      <w:r w:rsidRPr="009F5973">
        <w:rPr>
          <w:lang w:eastAsia="lt-LT"/>
        </w:rPr>
        <w:t xml:space="preserve">Siekiant sudaryti palankias sąlygas atsiskleisti kiekvieno mokinio individualybei, pasiteisino siūlomi dalykų kursai, pasirenkamieji dalykai, moduliai, neformaliojo švietimo užsiėmimai. Buvo vykdomi 8 pasirenkamieji dalykai, 13 modulių ir 12 neformaliojo švietimo programų, skirtos </w:t>
      </w:r>
      <w:r w:rsidRPr="009F5973">
        <w:rPr>
          <w:lang w:eastAsia="lt-LT"/>
        </w:rPr>
        <w:lastRenderedPageBreak/>
        <w:t>valandos ilgalaikėms ir trumpalaikėms lietuvių kalbos ir literatūros, matematikos, biologijos, chemijos, fizikos, užsienio kalbų, geografijos konsultacijoms. Mokiniai kompensavo atsilikimą, pagerėjo pažymių vidurkiai. Jaunimo skyriaus 8</w:t>
      </w:r>
      <w:r>
        <w:rPr>
          <w:lang w:eastAsia="lt-LT"/>
        </w:rPr>
        <w:t>–</w:t>
      </w:r>
      <w:r w:rsidRPr="009F5973">
        <w:rPr>
          <w:lang w:eastAsia="lt-LT"/>
        </w:rPr>
        <w:t xml:space="preserve">10 klasėse buvo vykdomas ikiprofesinis ugdymas. </w:t>
      </w:r>
    </w:p>
    <w:p w:rsidR="000758DC" w:rsidRDefault="000758DC" w:rsidP="009D2C16">
      <w:pPr>
        <w:tabs>
          <w:tab w:val="left" w:pos="924"/>
        </w:tabs>
        <w:ind w:firstLine="603"/>
        <w:jc w:val="both"/>
      </w:pPr>
      <w:r w:rsidRPr="009F5973">
        <w:rPr>
          <w:lang w:eastAsia="lt-LT"/>
        </w:rPr>
        <w:t>Įsivertinimo rezultatų analizė parodė, kad mokiniams buvo sistemingai teikiama pedagoginė, socialinė, specialioji, psichologinė, karjeros planavimo pagalba. 2021 m. socialiniai pedagogai mokiniams suteikė virš 400 konsultacijų (2020 m. – 500), aptarė virš 200 situacijų (mokyklos nelankymo, bendravimo su tėvais ir bendraamžiais, rūkymo, alkoholio vartojimo)</w:t>
      </w:r>
      <w:r>
        <w:rPr>
          <w:lang w:eastAsia="lt-LT"/>
        </w:rPr>
        <w:t>,</w:t>
      </w:r>
      <w:r w:rsidRPr="009F5973">
        <w:rPr>
          <w:lang w:eastAsia="lt-LT"/>
        </w:rPr>
        <w:t xml:space="preserve"> nuolat bendradarbiavo su klasių auklėtojais, tėvais, vaikų globos namais, pagalbą mokiniui teikiančiomis institucijomis mieste, sprendžiant mokinių lankomumo, pažangumo, socialines problemas. Psichologas suteikė 250 individualių ir grupinių konsultacijų (2020 m. – 125), specialusis pedagogas – 195 (2020 m.–50). </w:t>
      </w:r>
      <w:r w:rsidRPr="009F5973">
        <w:t>Taikytos priemonės padėjo pagerinti lankomumą (14 proc</w:t>
      </w:r>
      <w:r>
        <w:t>.), taip pat</w:t>
      </w:r>
      <w:r w:rsidRPr="009F5973">
        <w:t xml:space="preserve"> sumažėjo vėlavimų į pirmas pamokas</w:t>
      </w:r>
      <w:r>
        <w:t xml:space="preserve">, </w:t>
      </w:r>
      <w:r w:rsidRPr="009F5973">
        <w:t xml:space="preserve">padidino mokinių norą mokytis (gimnazijos specialistų mokinių apklausos duomenimis 50 proc.). 2021 m. nebuvo užfiksuota mokinių teisėtvarkos pažeidimų. </w:t>
      </w:r>
    </w:p>
    <w:p w:rsidR="000758DC" w:rsidRPr="009F5973" w:rsidRDefault="000758DC" w:rsidP="009D2C16">
      <w:pPr>
        <w:tabs>
          <w:tab w:val="left" w:pos="924"/>
        </w:tabs>
        <w:ind w:firstLine="603"/>
        <w:jc w:val="both"/>
      </w:pPr>
      <w:r w:rsidRPr="009F5973">
        <w:t xml:space="preserve">Visų taikomų priemonių </w:t>
      </w:r>
      <w:r>
        <w:t>pagalba pagerėjo mokinių ugdymo</w:t>
      </w:r>
      <w:r w:rsidRPr="009F5973">
        <w:t>(si) rezultatai. Komandinis darbas, dalinimasis patirtimi ir naudingomis nuorodomis, bendruomenės sutelktumas pagerino mokinių ugdymo(si) rezultatus. 2021 m. I trimestro jaunimo klasių mokinių mokymosi pažanga, lyginant su 2020 m. I trimestru</w:t>
      </w:r>
      <w:r>
        <w:t>,</w:t>
      </w:r>
      <w:r w:rsidRPr="009F5973">
        <w:t xml:space="preserve"> </w:t>
      </w:r>
      <w:r>
        <w:t>padidėj</w:t>
      </w:r>
      <w:r w:rsidRPr="009F5973">
        <w:t>o 69</w:t>
      </w:r>
      <w:r w:rsidRPr="009F5973">
        <w:rPr>
          <w:b/>
        </w:rPr>
        <w:t xml:space="preserve"> </w:t>
      </w:r>
      <w:r w:rsidRPr="009F5973">
        <w:t xml:space="preserve">proc.; suaugusių mokinių metinė mokymosi pažanga – 8,5 proc. </w:t>
      </w:r>
      <w:r w:rsidRPr="009F5973">
        <w:rPr>
          <w:color w:val="000000"/>
          <w:lang w:eastAsia="lt-LT"/>
        </w:rPr>
        <w:t>Pasirinktos ugdymo formos atitiko mokinių poreikius, turimą mokymosi patirtį (87,3 procentai jaunimo klasių mokinių ir 95,3 procentai suaugusiųjų mokinių yra pažangūs</w:t>
      </w:r>
      <w:r>
        <w:rPr>
          <w:color w:val="000000"/>
          <w:lang w:eastAsia="lt-LT"/>
        </w:rPr>
        <w:t>,</w:t>
      </w:r>
      <w:r w:rsidRPr="009F5973">
        <w:rPr>
          <w:color w:val="000000"/>
          <w:lang w:eastAsia="lt-LT"/>
        </w:rPr>
        <w:t xml:space="preserve"> 2020 m. </w:t>
      </w:r>
      <w:r>
        <w:rPr>
          <w:color w:val="000000"/>
          <w:lang w:eastAsia="lt-LT"/>
        </w:rPr>
        <w:t xml:space="preserve">– </w:t>
      </w:r>
      <w:r w:rsidRPr="009F5973">
        <w:rPr>
          <w:color w:val="000000"/>
          <w:lang w:eastAsia="lt-LT"/>
        </w:rPr>
        <w:t xml:space="preserve">69 proc. jaunimo klasių mokinių ir 88 proc. </w:t>
      </w:r>
      <w:r>
        <w:rPr>
          <w:color w:val="000000"/>
          <w:lang w:eastAsia="lt-LT"/>
        </w:rPr>
        <w:t xml:space="preserve">– </w:t>
      </w:r>
      <w:r w:rsidRPr="009F5973">
        <w:rPr>
          <w:color w:val="000000"/>
          <w:lang w:eastAsia="lt-LT"/>
        </w:rPr>
        <w:t xml:space="preserve">suaugusiųjų klasių mokinių). </w:t>
      </w:r>
      <w:r w:rsidRPr="009F5973">
        <w:rPr>
          <w:lang w:eastAsia="lt-LT"/>
        </w:rPr>
        <w:t>Pasirinktos ugdymo formos atitiko mokinių poreikius, turimą mokymosi patirtį (daugiau kaip 73 proc. jaunimo klasių mokinių ir 72 proc. suaugusiųjų mokinių įsivertindami pažymėjo, kad padarė pažangą ir patobulino mokėjimo mokytis kompetenciją, 83 proc. jaunimo klasių mokinių ir 51 proc. suaugusiųjų mokinių teigė, kad pradėjo aktyviau dalyvauti visuomeniniuose, kultūriniuose renginiuose ir gimnazijos neformalioje veikloje, 77 proc. jaunimo klasių mokinių ir 84 proc. suaugusiųjų mokinių pažymėjo, kad pagerėjo jų socialiniai įgūdžiai). Dalykų mokytojai ir klasių vadovai stebėjo, fiksavo ir aptarė mokinių asmeninę pažangą metodinių grupių posėdžiuose (79 proc. mokinių padarė pažangą, 82 proc. mokinių pasiekė išsikeltus tikslus).</w:t>
      </w:r>
      <w:r w:rsidRPr="009F5973">
        <w:t xml:space="preserve"> </w:t>
      </w:r>
    </w:p>
    <w:p w:rsidR="000758DC" w:rsidRDefault="000758DC" w:rsidP="009D2C16">
      <w:pPr>
        <w:tabs>
          <w:tab w:val="left" w:pos="887"/>
        </w:tabs>
        <w:ind w:left="30" w:firstLine="567"/>
        <w:jc w:val="both"/>
        <w:rPr>
          <w:lang w:eastAsia="lt-LT"/>
        </w:rPr>
      </w:pPr>
      <w:r w:rsidRPr="009F5973">
        <w:rPr>
          <w:lang w:eastAsia="lt-LT"/>
        </w:rPr>
        <w:t>50 proc. mokinių dalyvavo tarptautiniuose, respublikiniuose, miesto ir gimnazijos konkursuose, olimpiadose. I6 (44 proc.,</w:t>
      </w:r>
      <w:r w:rsidRPr="009F5973">
        <w:rPr>
          <w:b/>
          <w:lang w:eastAsia="lt-LT"/>
        </w:rPr>
        <w:t xml:space="preserve"> </w:t>
      </w:r>
      <w:r w:rsidRPr="009F5973">
        <w:rPr>
          <w:lang w:eastAsia="lt-LT"/>
        </w:rPr>
        <w:t xml:space="preserve">2020 m. – 40 proc.) tapo nugalėtojais: tarptautiniame rusų kalbos diktante „International </w:t>
      </w:r>
      <w:r w:rsidRPr="003D5A16">
        <w:rPr>
          <w:lang w:val="en-US" w:eastAsia="lt-LT"/>
        </w:rPr>
        <w:t>Contest „Russian Dictation</w:t>
      </w:r>
      <w:r w:rsidRPr="009F5973">
        <w:rPr>
          <w:lang w:eastAsia="lt-LT"/>
        </w:rPr>
        <w:t xml:space="preserve"> Online“ </w:t>
      </w:r>
      <w:r>
        <w:rPr>
          <w:lang w:eastAsia="lt-LT"/>
        </w:rPr>
        <w:t xml:space="preserve">buvo </w:t>
      </w:r>
      <w:r w:rsidRPr="009F5973">
        <w:rPr>
          <w:lang w:eastAsia="lt-LT"/>
        </w:rPr>
        <w:t xml:space="preserve">1 nugalėtojas; įvairių mokomųjų dalykų konkurse „Olimpis“ (2021 m. pavasario ir rudens sesijose) diplomus gavo 16 nugalėtojų, anglų kalbos olimpiadoje „KINGS“ </w:t>
      </w:r>
      <w:r>
        <w:rPr>
          <w:lang w:eastAsia="lt-LT"/>
        </w:rPr>
        <w:t xml:space="preserve">– </w:t>
      </w:r>
      <w:r w:rsidRPr="009F5973">
        <w:rPr>
          <w:lang w:eastAsia="lt-LT"/>
        </w:rPr>
        <w:t xml:space="preserve">1 nugalėtojas; vertimo projekte „Tavo žvilgsnis 2021“ </w:t>
      </w:r>
      <w:r>
        <w:rPr>
          <w:lang w:eastAsia="lt-LT"/>
        </w:rPr>
        <w:t xml:space="preserve">– </w:t>
      </w:r>
      <w:r w:rsidRPr="009F5973">
        <w:rPr>
          <w:lang w:eastAsia="lt-LT"/>
        </w:rPr>
        <w:t xml:space="preserve">10 nugalėtojų ir 2 padėkos raštai; „Kalbų Kengūra 2021“ </w:t>
      </w:r>
      <w:r>
        <w:rPr>
          <w:lang w:eastAsia="lt-LT"/>
        </w:rPr>
        <w:t xml:space="preserve">gauti </w:t>
      </w:r>
      <w:r w:rsidRPr="009F5973">
        <w:rPr>
          <w:lang w:eastAsia="lt-LT"/>
        </w:rPr>
        <w:t xml:space="preserve">7 diplomai; „Istorijos Kengūra 2021“ </w:t>
      </w:r>
      <w:r>
        <w:rPr>
          <w:lang w:eastAsia="lt-LT"/>
        </w:rPr>
        <w:t xml:space="preserve">buvo </w:t>
      </w:r>
      <w:r w:rsidRPr="009F5973">
        <w:rPr>
          <w:lang w:eastAsia="lt-LT"/>
        </w:rPr>
        <w:t>3 nugalėtojai</w:t>
      </w:r>
      <w:r>
        <w:rPr>
          <w:lang w:eastAsia="lt-LT"/>
        </w:rPr>
        <w:t>.</w:t>
      </w:r>
      <w:r w:rsidRPr="009F5973">
        <w:rPr>
          <w:lang w:eastAsia="lt-LT"/>
        </w:rPr>
        <w:t xml:space="preserve"> 9 jaunimo klasių ir suaugusiųjų klasių moksleiviai dalyvavo kompiuterinių atvirukų konkursuose „Žiemos fantazija 2021“ ir „Kompiuterinė Kalėdų pasaka“; Klaipėdos m. epistolinio rašinio konkurse „Laiškas Seneliui Šalčiui“ 1 mokinys užėmė II –ą vietą; suaugusiųjų klasių moksleiviai dalyvavo tarptautiniame mokinių kūrybinių darbų parodos konkurse „Būk sveikas, </w:t>
      </w:r>
      <w:r>
        <w:rPr>
          <w:lang w:eastAsia="lt-LT"/>
        </w:rPr>
        <w:t>p</w:t>
      </w:r>
      <w:r w:rsidRPr="009F5973">
        <w:rPr>
          <w:lang w:eastAsia="lt-LT"/>
        </w:rPr>
        <w:t xml:space="preserve">avasari“; minint tarptautinę </w:t>
      </w:r>
      <w:r w:rsidRPr="003D5A16">
        <w:rPr>
          <w:i/>
          <w:lang w:eastAsia="lt-LT"/>
        </w:rPr>
        <w:t>Pi</w:t>
      </w:r>
      <w:r w:rsidRPr="009F5973">
        <w:rPr>
          <w:lang w:eastAsia="lt-LT"/>
        </w:rPr>
        <w:t xml:space="preserve"> dieną sukurta ir pristatyta virtuali knyga; kūrybinių plakatų projekte „Mano mokykla“ dalyvavo 3 mokiniai; L</w:t>
      </w:r>
      <w:r>
        <w:rPr>
          <w:lang w:eastAsia="lt-LT"/>
        </w:rPr>
        <w:t xml:space="preserve">ietuvos </w:t>
      </w:r>
      <w:r w:rsidRPr="009F5973">
        <w:rPr>
          <w:lang w:eastAsia="lt-LT"/>
        </w:rPr>
        <w:t>R</w:t>
      </w:r>
      <w:r>
        <w:rPr>
          <w:lang w:eastAsia="lt-LT"/>
        </w:rPr>
        <w:t>espublikos</w:t>
      </w:r>
      <w:r w:rsidRPr="009F5973">
        <w:rPr>
          <w:lang w:eastAsia="lt-LT"/>
        </w:rPr>
        <w:t xml:space="preserve"> Konstitucijos egzamine – 9 mokiniai.</w:t>
      </w:r>
    </w:p>
    <w:p w:rsidR="000758DC" w:rsidRDefault="000758DC" w:rsidP="009D2C16">
      <w:pPr>
        <w:tabs>
          <w:tab w:val="left" w:pos="887"/>
        </w:tabs>
        <w:ind w:left="30" w:firstLine="567"/>
        <w:jc w:val="both"/>
      </w:pPr>
      <w:r w:rsidRPr="009F5973">
        <w:t>2021 m. daugiau lėšų buvo skirta mokymosi sąlygų pagerinimui, edukacinių aplinkų modernizavimui, patalpų remontui, IKT įsigijimui. Remonto darbams išleista 8</w:t>
      </w:r>
      <w:r>
        <w:t xml:space="preserve"> </w:t>
      </w:r>
      <w:r w:rsidRPr="009F5973">
        <w:t>629,0 Eur (2020m.  – 8</w:t>
      </w:r>
      <w:r>
        <w:t xml:space="preserve"> </w:t>
      </w:r>
      <w:r w:rsidRPr="009F5973">
        <w:t>400,0 Eur), mokymo priemonėms – 7</w:t>
      </w:r>
      <w:r>
        <w:t xml:space="preserve"> </w:t>
      </w:r>
      <w:r w:rsidRPr="009F5973">
        <w:t>514,0 Eur ( 2020 m. – 1</w:t>
      </w:r>
      <w:r>
        <w:t xml:space="preserve"> </w:t>
      </w:r>
      <w:r w:rsidRPr="009F5973">
        <w:t>076,0 Eur), baldams – 4</w:t>
      </w:r>
      <w:r>
        <w:t xml:space="preserve"> </w:t>
      </w:r>
      <w:r w:rsidRPr="009F5973">
        <w:t>444,0 Eur (2020 m. – 1</w:t>
      </w:r>
      <w:r>
        <w:t xml:space="preserve"> </w:t>
      </w:r>
      <w:r w:rsidRPr="009F5973">
        <w:t>312,0 Eur). Atliktas aktų salės scenos, grindų remontas, įsigyt</w:t>
      </w:r>
      <w:r>
        <w:t>i baldai mokomiesiems kabinetam</w:t>
      </w:r>
      <w:r w:rsidRPr="009F5973">
        <w:t>s</w:t>
      </w:r>
      <w:r>
        <w:t>.</w:t>
      </w:r>
      <w:r w:rsidRPr="009F5973">
        <w:t xml:space="preserve"> IKT priemonių nupirkta už 7</w:t>
      </w:r>
      <w:r>
        <w:t xml:space="preserve"> </w:t>
      </w:r>
      <w:r w:rsidRPr="009F5973">
        <w:t>056,0 Eur (2020 m. – 3</w:t>
      </w:r>
      <w:r>
        <w:t xml:space="preserve"> </w:t>
      </w:r>
      <w:r w:rsidRPr="009F5973">
        <w:t>780,0 Eur).</w:t>
      </w:r>
    </w:p>
    <w:p w:rsidR="000758DC" w:rsidRDefault="000758DC" w:rsidP="009D2C16">
      <w:pPr>
        <w:tabs>
          <w:tab w:val="left" w:pos="887"/>
        </w:tabs>
        <w:ind w:left="30" w:firstLine="567"/>
        <w:jc w:val="both"/>
      </w:pPr>
      <w:r w:rsidRPr="009F5973">
        <w:t>Gimnazijos veikla buvo orientuojama į naujų edukacinių aplinkų kūrimą, esamų aplinkų atnaujinimą</w:t>
      </w:r>
      <w:r>
        <w:t>:</w:t>
      </w:r>
      <w:r w:rsidRPr="009F5973">
        <w:t xml:space="preserve"> buvo užtikrinta estetiška, funkcionali, saugi ugdymosi aplinka, atnaujinti baldai ir mokymo priemonės, įsigytos šiuolaikinės ugdymo(si) reikalavimus atliepiančios informacinės</w:t>
      </w:r>
      <w:r>
        <w:t>-</w:t>
      </w:r>
      <w:r w:rsidRPr="009F5973">
        <w:t>komunikacinės technologijos (13 nešiojamų kompiuterių, 5 skeneriai, 2 rinkiniai hibridinėms</w:t>
      </w:r>
      <w:r w:rsidRPr="009F5973">
        <w:rPr>
          <w:b/>
        </w:rPr>
        <w:t xml:space="preserve"> </w:t>
      </w:r>
      <w:r w:rsidRPr="009F5973">
        <w:lastRenderedPageBreak/>
        <w:t>pamokoms). Modernios mokymo priemonės prisidėjo prie ugdymo kokybės gerinimo, motyvacijos Gimnazijos bendruomenei s</w:t>
      </w:r>
      <w:r>
        <w:t>tiprinimo</w:t>
      </w:r>
      <w:r w:rsidRPr="009F5973">
        <w:t xml:space="preserve">, mokytojams suteikė galimybę tobulinti kvalifikaciją. </w:t>
      </w:r>
    </w:p>
    <w:p w:rsidR="000758DC" w:rsidRDefault="000758DC" w:rsidP="009D2C16">
      <w:pPr>
        <w:tabs>
          <w:tab w:val="left" w:pos="887"/>
        </w:tabs>
        <w:ind w:left="30" w:firstLine="567"/>
        <w:jc w:val="both"/>
      </w:pPr>
      <w:r w:rsidRPr="009F5973">
        <w:t>Buvo sudarytos sąlygos Jaunimo skyriaus mokiniams taikyti šiuolaikines technologijas, mokantis įvairių dalykų</w:t>
      </w:r>
      <w:r>
        <w:t>:</w:t>
      </w:r>
      <w:r w:rsidRPr="009F5973">
        <w:t xml:space="preserve"> susipažinti su įvairiomis profesijomis, padėti suprasti darbo reikšmę, ugdytis darbinės veiklos įgūdžius, įgyti kompetencijų, reikalingų mokinio pasirinktai profesinei </w:t>
      </w:r>
      <w:r w:rsidRPr="000B6E2C">
        <w:t>veiklai.</w:t>
      </w:r>
    </w:p>
    <w:p w:rsidR="000758DC" w:rsidRDefault="000758DC" w:rsidP="009D2C16">
      <w:pPr>
        <w:tabs>
          <w:tab w:val="left" w:pos="887"/>
        </w:tabs>
        <w:ind w:left="30" w:firstLine="567"/>
        <w:jc w:val="both"/>
      </w:pPr>
      <w:r w:rsidRPr="000B6E2C">
        <w:t xml:space="preserve">Siekiant </w:t>
      </w:r>
      <w:r w:rsidRPr="009F5973">
        <w:t xml:space="preserve">Strateginio plano tikslo – </w:t>
      </w:r>
      <w:r>
        <w:t>u</w:t>
      </w:r>
      <w:r w:rsidRPr="009F5973">
        <w:t xml:space="preserve">žtikrinti paslaugų teikimą – įgyvendinti uždaviniai: 1. Teikti valstybinės kalbos mokėjimo kvalifikavimo komisijos paslaugas. 2. Teikti papildomas paslaugas. Gimnazijos veikla buvo orientuojama tenkinti gyventojų poreikius laikyti valstybinės kalbos mokėjimo ir Lietuvos Respublikos </w:t>
      </w:r>
      <w:r>
        <w:t>K</w:t>
      </w:r>
      <w:r w:rsidRPr="009F5973">
        <w:t>onstitucijos pagrindų egzaminus</w:t>
      </w:r>
      <w:r>
        <w:t>,</w:t>
      </w:r>
      <w:r w:rsidRPr="009F5973">
        <w:t xml:space="preserve"> pagal galimybes teikti patalpų suteikimo paslaugą, organizuojant valstybinės kalbos mokėjimo egzaminus asmenims, kuriems taikomi valstybinės kalbos mokėjimo kategorijų reikalavimai ar siekiantiems įgyti Lietuvos Respublikos pilietybę.</w:t>
      </w:r>
      <w:r w:rsidRPr="009F5973">
        <w:rPr>
          <w:color w:val="FF0000"/>
        </w:rPr>
        <w:t xml:space="preserve"> </w:t>
      </w:r>
      <w:r w:rsidRPr="009F5973">
        <w:t>Valstybinės kalbos mokėjimo I, II, III kategorijų įteikt</w:t>
      </w:r>
      <w:r>
        <w:t>i</w:t>
      </w:r>
      <w:r w:rsidRPr="009F5973">
        <w:t xml:space="preserve"> </w:t>
      </w:r>
      <w:r>
        <w:t xml:space="preserve">49 </w:t>
      </w:r>
      <w:r w:rsidRPr="009F5973">
        <w:t>pažymėjim</w:t>
      </w:r>
      <w:r>
        <w:t>ai,</w:t>
      </w:r>
      <w:r w:rsidRPr="009F5973">
        <w:t xml:space="preserve"> (2020 m. – 41</w:t>
      </w:r>
      <w:r w:rsidRPr="004331E4">
        <w:t>), Konstitucijos pagrindų egzaminą išlaikė 44 asmenys (2002 m. – 26).</w:t>
      </w:r>
    </w:p>
    <w:p w:rsidR="000758DC" w:rsidRPr="004331E4" w:rsidRDefault="000758DC" w:rsidP="000758DC">
      <w:pPr>
        <w:tabs>
          <w:tab w:val="left" w:pos="887"/>
        </w:tabs>
        <w:ind w:left="30" w:firstLine="567"/>
        <w:jc w:val="both"/>
      </w:pPr>
      <w:r w:rsidRPr="004331E4">
        <w:t>2021 m. Gimnazijos finansinė situacija buvo tokia:</w:t>
      </w:r>
    </w:p>
    <w:tbl>
      <w:tblPr>
        <w:tblStyle w:val="Lentelstinklelis"/>
        <w:tblW w:w="0" w:type="auto"/>
        <w:tblInd w:w="31" w:type="dxa"/>
        <w:tblLook w:val="04A0" w:firstRow="1" w:lastRow="0" w:firstColumn="1" w:lastColumn="0" w:noHBand="0" w:noVBand="1"/>
      </w:tblPr>
      <w:tblGrid>
        <w:gridCol w:w="2099"/>
        <w:gridCol w:w="1487"/>
        <w:gridCol w:w="1376"/>
        <w:gridCol w:w="1284"/>
        <w:gridCol w:w="3272"/>
      </w:tblGrid>
      <w:tr w:rsidR="000758DC" w:rsidRPr="004331E4" w:rsidTr="009D2C16">
        <w:trPr>
          <w:tblHeader/>
        </w:trPr>
        <w:tc>
          <w:tcPr>
            <w:tcW w:w="2099" w:type="dxa"/>
            <w:vMerge w:val="restart"/>
            <w:tcBorders>
              <w:top w:val="single" w:sz="4" w:space="0" w:color="auto"/>
              <w:left w:val="single" w:sz="4" w:space="0" w:color="auto"/>
              <w:bottom w:val="single" w:sz="4" w:space="0" w:color="auto"/>
              <w:right w:val="single" w:sz="4" w:space="0" w:color="auto"/>
            </w:tcBorders>
            <w:hideMark/>
          </w:tcPr>
          <w:p w:rsidR="000758DC" w:rsidRPr="004331E4" w:rsidRDefault="000758DC" w:rsidP="009D2C16">
            <w:r w:rsidRPr="004331E4">
              <w:t>Finansavimo šaltinis</w:t>
            </w:r>
          </w:p>
        </w:tc>
        <w:tc>
          <w:tcPr>
            <w:tcW w:w="4147" w:type="dxa"/>
            <w:gridSpan w:val="3"/>
            <w:tcBorders>
              <w:top w:val="single" w:sz="4" w:space="0" w:color="auto"/>
              <w:left w:val="single" w:sz="4" w:space="0" w:color="auto"/>
              <w:bottom w:val="single" w:sz="4" w:space="0" w:color="auto"/>
              <w:right w:val="single" w:sz="4" w:space="0" w:color="auto"/>
            </w:tcBorders>
            <w:hideMark/>
          </w:tcPr>
          <w:p w:rsidR="000758DC" w:rsidRPr="004331E4" w:rsidRDefault="000758DC" w:rsidP="009D2C16">
            <w:r w:rsidRPr="004331E4">
              <w:t>Lėšos (tūkst. Eur)</w:t>
            </w:r>
          </w:p>
        </w:tc>
        <w:tc>
          <w:tcPr>
            <w:tcW w:w="3272" w:type="dxa"/>
            <w:vMerge w:val="restart"/>
            <w:tcBorders>
              <w:top w:val="single" w:sz="4" w:space="0" w:color="auto"/>
              <w:left w:val="single" w:sz="4" w:space="0" w:color="auto"/>
              <w:right w:val="single" w:sz="4" w:space="0" w:color="auto"/>
            </w:tcBorders>
          </w:tcPr>
          <w:p w:rsidR="000758DC" w:rsidRPr="004331E4" w:rsidRDefault="000758DC" w:rsidP="009D2C16">
            <w:r w:rsidRPr="004331E4">
              <w:t>Pastabos</w:t>
            </w:r>
          </w:p>
          <w:p w:rsidR="000758DC" w:rsidRPr="004331E4" w:rsidRDefault="000758DC" w:rsidP="009D2C16"/>
        </w:tc>
      </w:tr>
      <w:tr w:rsidR="000758DC" w:rsidRPr="003D5A16" w:rsidTr="009D2C16">
        <w:trPr>
          <w:tblHeader/>
        </w:trPr>
        <w:tc>
          <w:tcPr>
            <w:tcW w:w="2099" w:type="dxa"/>
            <w:vMerge/>
            <w:tcBorders>
              <w:top w:val="single" w:sz="4" w:space="0" w:color="auto"/>
              <w:left w:val="single" w:sz="4" w:space="0" w:color="auto"/>
              <w:bottom w:val="single" w:sz="4" w:space="0" w:color="auto"/>
              <w:right w:val="single" w:sz="4" w:space="0" w:color="auto"/>
            </w:tcBorders>
            <w:vAlign w:val="center"/>
            <w:hideMark/>
          </w:tcPr>
          <w:p w:rsidR="000758DC" w:rsidRPr="003D5A16" w:rsidRDefault="000758DC" w:rsidP="009D2C16"/>
        </w:tc>
        <w:tc>
          <w:tcPr>
            <w:tcW w:w="1487" w:type="dxa"/>
            <w:tcBorders>
              <w:top w:val="single" w:sz="4" w:space="0" w:color="auto"/>
              <w:left w:val="single" w:sz="4" w:space="0" w:color="auto"/>
              <w:bottom w:val="single" w:sz="4" w:space="0" w:color="auto"/>
              <w:right w:val="single" w:sz="4" w:space="0" w:color="auto"/>
            </w:tcBorders>
            <w:hideMark/>
          </w:tcPr>
          <w:p w:rsidR="000758DC" w:rsidRPr="003D5A16" w:rsidRDefault="000758DC" w:rsidP="009D2C16">
            <w:r w:rsidRPr="003D5A16">
              <w:t>Planas (patikslintas)</w:t>
            </w:r>
          </w:p>
        </w:tc>
        <w:tc>
          <w:tcPr>
            <w:tcW w:w="1376" w:type="dxa"/>
            <w:tcBorders>
              <w:top w:val="single" w:sz="4" w:space="0" w:color="auto"/>
              <w:left w:val="single" w:sz="4" w:space="0" w:color="auto"/>
              <w:bottom w:val="single" w:sz="4" w:space="0" w:color="auto"/>
              <w:right w:val="single" w:sz="4" w:space="0" w:color="auto"/>
            </w:tcBorders>
            <w:hideMark/>
          </w:tcPr>
          <w:p w:rsidR="000758DC" w:rsidRPr="003D5A16" w:rsidRDefault="000758DC" w:rsidP="009D2C16">
            <w:r w:rsidRPr="003D5A16">
              <w:t>Panaudota lėšų</w:t>
            </w:r>
          </w:p>
        </w:tc>
        <w:tc>
          <w:tcPr>
            <w:tcW w:w="1284" w:type="dxa"/>
            <w:tcBorders>
              <w:top w:val="single" w:sz="4" w:space="0" w:color="auto"/>
              <w:left w:val="single" w:sz="4" w:space="0" w:color="auto"/>
              <w:bottom w:val="single" w:sz="4" w:space="0" w:color="auto"/>
              <w:right w:val="single" w:sz="4" w:space="0" w:color="auto"/>
            </w:tcBorders>
            <w:hideMark/>
          </w:tcPr>
          <w:p w:rsidR="000758DC" w:rsidRPr="003D5A16" w:rsidRDefault="000758DC" w:rsidP="009D2C16">
            <w:r w:rsidRPr="003D5A16">
              <w:t>Įvykdymas (%)</w:t>
            </w:r>
          </w:p>
        </w:tc>
        <w:tc>
          <w:tcPr>
            <w:tcW w:w="3272" w:type="dxa"/>
            <w:vMerge/>
            <w:tcBorders>
              <w:left w:val="single" w:sz="4" w:space="0" w:color="auto"/>
              <w:bottom w:val="single" w:sz="4" w:space="0" w:color="auto"/>
              <w:right w:val="single" w:sz="4" w:space="0" w:color="auto"/>
            </w:tcBorders>
          </w:tcPr>
          <w:p w:rsidR="000758DC" w:rsidRPr="003D5A16" w:rsidRDefault="000758DC" w:rsidP="009D2C16"/>
        </w:tc>
      </w:tr>
      <w:tr w:rsidR="000758DC" w:rsidRPr="003D5A16" w:rsidTr="009D2C16">
        <w:trPr>
          <w:trHeight w:val="415"/>
        </w:trPr>
        <w:tc>
          <w:tcPr>
            <w:tcW w:w="2099" w:type="dxa"/>
            <w:tcBorders>
              <w:top w:val="single" w:sz="4" w:space="0" w:color="auto"/>
              <w:left w:val="single" w:sz="4" w:space="0" w:color="auto"/>
              <w:bottom w:val="single" w:sz="4" w:space="0" w:color="auto"/>
              <w:right w:val="single" w:sz="4" w:space="0" w:color="auto"/>
            </w:tcBorders>
            <w:hideMark/>
          </w:tcPr>
          <w:p w:rsidR="000758DC" w:rsidRPr="003D5A16" w:rsidRDefault="000758DC" w:rsidP="009D2C16">
            <w:r w:rsidRPr="003D5A16">
              <w:t>Savivaldybės biudžetas (SB)</w:t>
            </w:r>
          </w:p>
        </w:tc>
        <w:tc>
          <w:tcPr>
            <w:tcW w:w="1487"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255,6</w:t>
            </w:r>
          </w:p>
        </w:tc>
        <w:tc>
          <w:tcPr>
            <w:tcW w:w="1376"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255,3</w:t>
            </w:r>
          </w:p>
        </w:tc>
        <w:tc>
          <w:tcPr>
            <w:tcW w:w="1284"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99,88</w:t>
            </w:r>
          </w:p>
        </w:tc>
        <w:tc>
          <w:tcPr>
            <w:tcW w:w="3272" w:type="dxa"/>
            <w:tcBorders>
              <w:top w:val="single" w:sz="4" w:space="0" w:color="auto"/>
              <w:left w:val="single" w:sz="4" w:space="0" w:color="auto"/>
              <w:bottom w:val="single" w:sz="4" w:space="0" w:color="auto"/>
              <w:right w:val="single" w:sz="4" w:space="0" w:color="auto"/>
            </w:tcBorders>
          </w:tcPr>
          <w:p w:rsidR="000758DC" w:rsidRPr="003D5A16" w:rsidRDefault="000758DC" w:rsidP="009D2C16"/>
        </w:tc>
      </w:tr>
      <w:tr w:rsidR="000758DC" w:rsidRPr="003D5A16" w:rsidTr="009D2C16">
        <w:tc>
          <w:tcPr>
            <w:tcW w:w="2099" w:type="dxa"/>
            <w:tcBorders>
              <w:top w:val="single" w:sz="4" w:space="0" w:color="auto"/>
              <w:left w:val="single" w:sz="4" w:space="0" w:color="auto"/>
              <w:bottom w:val="single" w:sz="4" w:space="0" w:color="auto"/>
              <w:right w:val="single" w:sz="4" w:space="0" w:color="auto"/>
            </w:tcBorders>
            <w:hideMark/>
          </w:tcPr>
          <w:p w:rsidR="000758DC" w:rsidRPr="003D5A16" w:rsidRDefault="000758DC" w:rsidP="009D2C16">
            <w:r w:rsidRPr="003D5A16">
              <w:t>Specialioji tikslinė dotacija (VB)</w:t>
            </w:r>
          </w:p>
        </w:tc>
        <w:tc>
          <w:tcPr>
            <w:tcW w:w="1487"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589,1</w:t>
            </w:r>
          </w:p>
        </w:tc>
        <w:tc>
          <w:tcPr>
            <w:tcW w:w="1376"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588,9</w:t>
            </w:r>
          </w:p>
        </w:tc>
        <w:tc>
          <w:tcPr>
            <w:tcW w:w="1284"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99,97</w:t>
            </w:r>
          </w:p>
        </w:tc>
        <w:tc>
          <w:tcPr>
            <w:tcW w:w="3272" w:type="dxa"/>
            <w:tcBorders>
              <w:top w:val="single" w:sz="4" w:space="0" w:color="auto"/>
              <w:left w:val="single" w:sz="4" w:space="0" w:color="auto"/>
              <w:bottom w:val="single" w:sz="4" w:space="0" w:color="auto"/>
              <w:right w:val="single" w:sz="4" w:space="0" w:color="auto"/>
            </w:tcBorders>
          </w:tcPr>
          <w:p w:rsidR="000758DC" w:rsidRPr="003D5A16" w:rsidRDefault="000758DC" w:rsidP="009D2C16"/>
        </w:tc>
      </w:tr>
      <w:tr w:rsidR="000758DC" w:rsidRPr="003D5A16" w:rsidTr="009D2C16">
        <w:tc>
          <w:tcPr>
            <w:tcW w:w="2099" w:type="dxa"/>
            <w:tcBorders>
              <w:top w:val="single" w:sz="4" w:space="0" w:color="auto"/>
              <w:left w:val="single" w:sz="4" w:space="0" w:color="auto"/>
              <w:bottom w:val="single" w:sz="4" w:space="0" w:color="auto"/>
              <w:right w:val="single" w:sz="4" w:space="0" w:color="auto"/>
            </w:tcBorders>
            <w:hideMark/>
          </w:tcPr>
          <w:p w:rsidR="000758DC" w:rsidRPr="003D5A16" w:rsidRDefault="000758DC" w:rsidP="009D2C16">
            <w:r w:rsidRPr="003D5A16">
              <w:t>Įstaigos gautos pajamos (surinkta pajamų SP), iš jų:</w:t>
            </w:r>
          </w:p>
        </w:tc>
        <w:tc>
          <w:tcPr>
            <w:tcW w:w="1487"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3,9</w:t>
            </w:r>
          </w:p>
        </w:tc>
        <w:tc>
          <w:tcPr>
            <w:tcW w:w="1376"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1,4</w:t>
            </w:r>
          </w:p>
        </w:tc>
        <w:tc>
          <w:tcPr>
            <w:tcW w:w="1284"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35,90</w:t>
            </w:r>
          </w:p>
        </w:tc>
        <w:tc>
          <w:tcPr>
            <w:tcW w:w="3272"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t>Nesurinktos planuotos lėšos dėl pandemijos</w:t>
            </w:r>
          </w:p>
        </w:tc>
      </w:tr>
      <w:tr w:rsidR="000758DC" w:rsidRPr="003D5A16" w:rsidTr="009D2C16">
        <w:trPr>
          <w:trHeight w:val="143"/>
        </w:trPr>
        <w:tc>
          <w:tcPr>
            <w:tcW w:w="2099" w:type="dxa"/>
            <w:tcBorders>
              <w:top w:val="single" w:sz="4" w:space="0" w:color="auto"/>
              <w:left w:val="single" w:sz="4" w:space="0" w:color="auto"/>
              <w:bottom w:val="single" w:sz="4" w:space="0" w:color="auto"/>
              <w:right w:val="single" w:sz="4" w:space="0" w:color="auto"/>
            </w:tcBorders>
            <w:hideMark/>
          </w:tcPr>
          <w:p w:rsidR="000758DC" w:rsidRPr="003D5A16" w:rsidRDefault="000758DC" w:rsidP="009D2C16">
            <w:r w:rsidRPr="003D5A16">
              <w:t>Pajamų išlaidos (SP)</w:t>
            </w:r>
          </w:p>
        </w:tc>
        <w:tc>
          <w:tcPr>
            <w:tcW w:w="1487" w:type="dxa"/>
            <w:tcBorders>
              <w:top w:val="single" w:sz="4" w:space="0" w:color="auto"/>
              <w:left w:val="single" w:sz="4" w:space="0" w:color="auto"/>
              <w:bottom w:val="single" w:sz="4" w:space="0" w:color="auto"/>
              <w:right w:val="single" w:sz="4" w:space="0" w:color="auto"/>
            </w:tcBorders>
            <w:hideMark/>
          </w:tcPr>
          <w:p w:rsidR="000758DC" w:rsidRPr="003D5A16" w:rsidRDefault="000758DC" w:rsidP="009D2C16">
            <w:r w:rsidRPr="003D5A16">
              <w:t>3,9</w:t>
            </w:r>
          </w:p>
        </w:tc>
        <w:tc>
          <w:tcPr>
            <w:tcW w:w="1376"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1,4</w:t>
            </w:r>
          </w:p>
        </w:tc>
        <w:tc>
          <w:tcPr>
            <w:tcW w:w="1284" w:type="dxa"/>
            <w:tcBorders>
              <w:top w:val="single" w:sz="4" w:space="0" w:color="auto"/>
              <w:left w:val="single" w:sz="4" w:space="0" w:color="auto"/>
              <w:bottom w:val="single" w:sz="4" w:space="0" w:color="auto"/>
              <w:right w:val="single" w:sz="4" w:space="0" w:color="auto"/>
            </w:tcBorders>
          </w:tcPr>
          <w:p w:rsidR="000758DC" w:rsidRPr="003D5A16" w:rsidRDefault="000758DC" w:rsidP="009D2C16"/>
        </w:tc>
        <w:tc>
          <w:tcPr>
            <w:tcW w:w="3272" w:type="dxa"/>
            <w:tcBorders>
              <w:top w:val="single" w:sz="4" w:space="0" w:color="auto"/>
              <w:left w:val="single" w:sz="4" w:space="0" w:color="auto"/>
              <w:bottom w:val="single" w:sz="4" w:space="0" w:color="auto"/>
              <w:right w:val="single" w:sz="4" w:space="0" w:color="auto"/>
            </w:tcBorders>
          </w:tcPr>
          <w:p w:rsidR="000758DC" w:rsidRPr="003D5A16" w:rsidRDefault="000758DC" w:rsidP="009D2C16"/>
        </w:tc>
      </w:tr>
      <w:tr w:rsidR="000758DC" w:rsidRPr="003D5A16" w:rsidTr="009D2C16">
        <w:trPr>
          <w:trHeight w:val="125"/>
        </w:trPr>
        <w:tc>
          <w:tcPr>
            <w:tcW w:w="2099" w:type="dxa"/>
            <w:tcBorders>
              <w:top w:val="single" w:sz="4" w:space="0" w:color="auto"/>
              <w:left w:val="single" w:sz="4" w:space="0" w:color="auto"/>
              <w:bottom w:val="single" w:sz="4" w:space="0" w:color="auto"/>
              <w:right w:val="single" w:sz="4" w:space="0" w:color="auto"/>
            </w:tcBorders>
            <w:hideMark/>
          </w:tcPr>
          <w:p w:rsidR="000758DC" w:rsidRPr="003D5A16" w:rsidRDefault="000758DC" w:rsidP="009D2C16">
            <w:r w:rsidRPr="003D5A16">
              <w:t>Projektų finansavimas (ES; VB;SB)</w:t>
            </w:r>
          </w:p>
        </w:tc>
        <w:tc>
          <w:tcPr>
            <w:tcW w:w="1487" w:type="dxa"/>
            <w:tcBorders>
              <w:top w:val="single" w:sz="4" w:space="0" w:color="auto"/>
              <w:left w:val="single" w:sz="4" w:space="0" w:color="auto"/>
              <w:bottom w:val="single" w:sz="4" w:space="0" w:color="auto"/>
              <w:right w:val="single" w:sz="4" w:space="0" w:color="auto"/>
            </w:tcBorders>
          </w:tcPr>
          <w:p w:rsidR="000758DC" w:rsidRPr="003D5A16" w:rsidRDefault="000758DC" w:rsidP="009D2C16"/>
        </w:tc>
        <w:tc>
          <w:tcPr>
            <w:tcW w:w="1376" w:type="dxa"/>
            <w:tcBorders>
              <w:top w:val="single" w:sz="4" w:space="0" w:color="auto"/>
              <w:left w:val="single" w:sz="4" w:space="0" w:color="auto"/>
              <w:bottom w:val="single" w:sz="4" w:space="0" w:color="auto"/>
              <w:right w:val="single" w:sz="4" w:space="0" w:color="auto"/>
            </w:tcBorders>
          </w:tcPr>
          <w:p w:rsidR="000758DC" w:rsidRPr="003D5A16" w:rsidRDefault="000758DC" w:rsidP="009D2C16"/>
        </w:tc>
        <w:tc>
          <w:tcPr>
            <w:tcW w:w="1284" w:type="dxa"/>
            <w:tcBorders>
              <w:top w:val="single" w:sz="4" w:space="0" w:color="auto"/>
              <w:left w:val="single" w:sz="4" w:space="0" w:color="auto"/>
              <w:bottom w:val="single" w:sz="4" w:space="0" w:color="auto"/>
              <w:right w:val="single" w:sz="4" w:space="0" w:color="auto"/>
            </w:tcBorders>
          </w:tcPr>
          <w:p w:rsidR="000758DC" w:rsidRPr="003D5A16" w:rsidRDefault="000758DC" w:rsidP="009D2C16"/>
        </w:tc>
        <w:tc>
          <w:tcPr>
            <w:tcW w:w="3272" w:type="dxa"/>
            <w:tcBorders>
              <w:top w:val="single" w:sz="4" w:space="0" w:color="auto"/>
              <w:left w:val="single" w:sz="4" w:space="0" w:color="auto"/>
              <w:bottom w:val="single" w:sz="4" w:space="0" w:color="auto"/>
              <w:right w:val="single" w:sz="4" w:space="0" w:color="auto"/>
            </w:tcBorders>
          </w:tcPr>
          <w:p w:rsidR="000758DC" w:rsidRPr="003D5A16" w:rsidRDefault="000758DC" w:rsidP="009D2C16"/>
        </w:tc>
      </w:tr>
      <w:tr w:rsidR="000758DC" w:rsidRPr="003D5A16" w:rsidTr="009D2C16">
        <w:tc>
          <w:tcPr>
            <w:tcW w:w="2099" w:type="dxa"/>
            <w:tcBorders>
              <w:top w:val="single" w:sz="4" w:space="0" w:color="auto"/>
              <w:left w:val="single" w:sz="4" w:space="0" w:color="auto"/>
              <w:bottom w:val="single" w:sz="4" w:space="0" w:color="auto"/>
              <w:right w:val="single" w:sz="4" w:space="0" w:color="auto"/>
            </w:tcBorders>
            <w:hideMark/>
          </w:tcPr>
          <w:p w:rsidR="000758DC" w:rsidRPr="003D5A16" w:rsidRDefault="000758DC" w:rsidP="009D2C16">
            <w:r w:rsidRPr="003D5A16">
              <w:t>Kitos lėšos (parama 2 % GM ir kt.)</w:t>
            </w:r>
          </w:p>
        </w:tc>
        <w:tc>
          <w:tcPr>
            <w:tcW w:w="1487"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12,2</w:t>
            </w:r>
          </w:p>
        </w:tc>
        <w:tc>
          <w:tcPr>
            <w:tcW w:w="1376"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6,6</w:t>
            </w:r>
          </w:p>
        </w:tc>
        <w:tc>
          <w:tcPr>
            <w:tcW w:w="1284"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54,1</w:t>
            </w:r>
          </w:p>
        </w:tc>
        <w:tc>
          <w:tcPr>
            <w:tcW w:w="3272"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t>P</w:t>
            </w:r>
            <w:r w:rsidRPr="003D5A16">
              <w:t>aramos lėšos perkeltos į 2022 m.</w:t>
            </w:r>
          </w:p>
          <w:p w:rsidR="000758DC" w:rsidRPr="003D5A16" w:rsidRDefault="000758DC" w:rsidP="009D2C16"/>
        </w:tc>
      </w:tr>
      <w:tr w:rsidR="000758DC" w:rsidRPr="003D5A16" w:rsidTr="009D2C16">
        <w:trPr>
          <w:trHeight w:val="152"/>
        </w:trPr>
        <w:tc>
          <w:tcPr>
            <w:tcW w:w="2099" w:type="dxa"/>
            <w:tcBorders>
              <w:top w:val="single" w:sz="4" w:space="0" w:color="auto"/>
              <w:left w:val="single" w:sz="4" w:space="0" w:color="auto"/>
              <w:bottom w:val="single" w:sz="4" w:space="0" w:color="auto"/>
              <w:right w:val="single" w:sz="4" w:space="0" w:color="auto"/>
            </w:tcBorders>
            <w:hideMark/>
          </w:tcPr>
          <w:p w:rsidR="000758DC" w:rsidRPr="003D5A16" w:rsidRDefault="000758DC" w:rsidP="009D2C16">
            <w:r w:rsidRPr="003D5A16">
              <w:t>Iš viso</w:t>
            </w:r>
          </w:p>
        </w:tc>
        <w:tc>
          <w:tcPr>
            <w:tcW w:w="1487"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860,8</w:t>
            </w:r>
          </w:p>
        </w:tc>
        <w:tc>
          <w:tcPr>
            <w:tcW w:w="1376"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852,2</w:t>
            </w:r>
          </w:p>
        </w:tc>
        <w:tc>
          <w:tcPr>
            <w:tcW w:w="1284"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99,0</w:t>
            </w:r>
          </w:p>
        </w:tc>
        <w:tc>
          <w:tcPr>
            <w:tcW w:w="3272" w:type="dxa"/>
            <w:tcBorders>
              <w:top w:val="single" w:sz="4" w:space="0" w:color="auto"/>
              <w:left w:val="single" w:sz="4" w:space="0" w:color="auto"/>
              <w:bottom w:val="single" w:sz="4" w:space="0" w:color="auto"/>
              <w:right w:val="single" w:sz="4" w:space="0" w:color="auto"/>
            </w:tcBorders>
          </w:tcPr>
          <w:p w:rsidR="000758DC" w:rsidRPr="003D5A16" w:rsidRDefault="000758DC" w:rsidP="009D2C16"/>
        </w:tc>
      </w:tr>
      <w:tr w:rsidR="000758DC" w:rsidRPr="003D5A16" w:rsidTr="009D2C16">
        <w:tc>
          <w:tcPr>
            <w:tcW w:w="4962" w:type="dxa"/>
            <w:gridSpan w:val="3"/>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Kreditinis įsiskolinimas (pagal visus finansavimo šaltinius) 2022 m. sausio 1 d. – 12,79 eurai.</w:t>
            </w:r>
          </w:p>
        </w:tc>
        <w:tc>
          <w:tcPr>
            <w:tcW w:w="1284" w:type="dxa"/>
            <w:tcBorders>
              <w:top w:val="single" w:sz="4" w:space="0" w:color="auto"/>
              <w:left w:val="single" w:sz="4" w:space="0" w:color="auto"/>
              <w:bottom w:val="single" w:sz="4" w:space="0" w:color="auto"/>
              <w:right w:val="single" w:sz="4" w:space="0" w:color="auto"/>
            </w:tcBorders>
          </w:tcPr>
          <w:p w:rsidR="000758DC" w:rsidRPr="003D5A16" w:rsidRDefault="000758DC" w:rsidP="009D2C16"/>
        </w:tc>
        <w:tc>
          <w:tcPr>
            <w:tcW w:w="3272" w:type="dxa"/>
            <w:tcBorders>
              <w:top w:val="single" w:sz="4" w:space="0" w:color="auto"/>
              <w:left w:val="single" w:sz="4" w:space="0" w:color="auto"/>
              <w:bottom w:val="single" w:sz="4" w:space="0" w:color="auto"/>
              <w:right w:val="single" w:sz="4" w:space="0" w:color="auto"/>
            </w:tcBorders>
          </w:tcPr>
          <w:p w:rsidR="000758DC" w:rsidRPr="003D5A16" w:rsidRDefault="000758DC" w:rsidP="009D2C16">
            <w:r w:rsidRPr="003D5A16">
              <w:t xml:space="preserve">AB </w:t>
            </w:r>
            <w:r>
              <w:t>„</w:t>
            </w:r>
            <w:r w:rsidRPr="003D5A16">
              <w:t>Telia Lietuva</w:t>
            </w:r>
            <w:r>
              <w:t xml:space="preserve">“, </w:t>
            </w:r>
            <w:r w:rsidRPr="003D5A16">
              <w:t xml:space="preserve">UAB </w:t>
            </w:r>
            <w:r>
              <w:t>„</w:t>
            </w:r>
            <w:r w:rsidRPr="003D5A16">
              <w:t>Tele 2</w:t>
            </w:r>
            <w:r>
              <w:t>“</w:t>
            </w:r>
            <w:r w:rsidRPr="003D5A16">
              <w:t xml:space="preserve"> ryšio išlaidos </w:t>
            </w:r>
            <w:r>
              <w:t>apmokėtos sausio mėn.</w:t>
            </w:r>
          </w:p>
        </w:tc>
      </w:tr>
    </w:tbl>
    <w:p w:rsidR="000758DC" w:rsidRPr="009F5973" w:rsidRDefault="000758DC" w:rsidP="00312588">
      <w:pPr>
        <w:tabs>
          <w:tab w:val="left" w:pos="284"/>
          <w:tab w:val="left" w:pos="426"/>
          <w:tab w:val="left" w:pos="881"/>
        </w:tabs>
        <w:jc w:val="both"/>
        <w:rPr>
          <w:szCs w:val="20"/>
        </w:rPr>
      </w:pPr>
    </w:p>
    <w:p w:rsidR="000758DC" w:rsidRDefault="000758DC" w:rsidP="000758DC">
      <w:pPr>
        <w:tabs>
          <w:tab w:val="left" w:pos="284"/>
          <w:tab w:val="left" w:pos="426"/>
          <w:tab w:val="left" w:pos="881"/>
        </w:tabs>
        <w:ind w:firstLine="597"/>
        <w:jc w:val="both"/>
        <w:rPr>
          <w:lang w:eastAsia="lt-LT"/>
        </w:rPr>
      </w:pPr>
      <w:r w:rsidRPr="009F5973">
        <w:rPr>
          <w:szCs w:val="20"/>
        </w:rPr>
        <w:t xml:space="preserve">Gimnazijoje 2021 m. </w:t>
      </w:r>
      <w:r w:rsidRPr="009F5973">
        <w:rPr>
          <w:lang w:eastAsia="lt-LT"/>
        </w:rPr>
        <w:t>Klaipėdos miesto savivaldybės administracijos specialistai atliko informacinių technologijų, matematikos ir anglų kalbos valstybinių brandos egzaminų organizavimo ir vykdymo vertinimą. Pažeidimų nenustatyta.</w:t>
      </w:r>
    </w:p>
    <w:p w:rsidR="000758DC" w:rsidRPr="00532B90" w:rsidRDefault="000758DC" w:rsidP="000758DC">
      <w:pPr>
        <w:tabs>
          <w:tab w:val="left" w:pos="284"/>
          <w:tab w:val="left" w:pos="426"/>
          <w:tab w:val="left" w:pos="881"/>
        </w:tabs>
        <w:ind w:firstLine="597"/>
        <w:jc w:val="both"/>
        <w:rPr>
          <w:szCs w:val="20"/>
        </w:rPr>
      </w:pPr>
      <w:r w:rsidRPr="009F5973">
        <w:t>2021 m. Gimnazijoje liko neišspręstos tokios vidaus ir išorės faktorių sąlygotos problemos:</w:t>
      </w:r>
      <w:r>
        <w:t xml:space="preserve"> </w:t>
      </w:r>
      <w:r w:rsidRPr="009F5973">
        <w:rPr>
          <w:lang w:eastAsia="lt-LT"/>
        </w:rPr>
        <w:t xml:space="preserve">mokinių lankomumas, nepakankamas jaunimo klasių tėvų iš nepalankios socialinės aplinkos įsitraukimas, sprendžiant iškilusias jų vaikų ugdymo(si) problemas. Didėja mokinių psichologinės pagalbos poreikis. </w:t>
      </w:r>
    </w:p>
    <w:p w:rsidR="00312588" w:rsidRDefault="000758DC" w:rsidP="000758DC">
      <w:pPr>
        <w:ind w:firstLine="709"/>
        <w:jc w:val="both"/>
      </w:pPr>
      <w:r w:rsidRPr="009F5973">
        <w:t>Planuodama 2022 m. veiklą, Gimnazijos bendruomenė susitarė dėl veiklos prioriteto – mokymosi pagalbos įvairių</w:t>
      </w:r>
      <w:r>
        <w:t xml:space="preserve"> poreikių mokiniams stiprinimas</w:t>
      </w:r>
    </w:p>
    <w:p w:rsidR="00312588" w:rsidRDefault="00312588" w:rsidP="000758DC">
      <w:pPr>
        <w:jc w:val="both"/>
      </w:pPr>
    </w:p>
    <w:p w:rsidR="000758DC" w:rsidRDefault="000758DC" w:rsidP="000758DC">
      <w:pPr>
        <w:jc w:val="both"/>
      </w:pPr>
      <w:bookmarkStart w:id="2" w:name="_GoBack"/>
      <w:bookmarkEnd w:id="2"/>
    </w:p>
    <w:p w:rsidR="00312588" w:rsidRDefault="00312588" w:rsidP="00312588">
      <w:pPr>
        <w:jc w:val="both"/>
        <w:rPr>
          <w:lang w:eastAsia="lt-LT"/>
        </w:rPr>
      </w:pPr>
      <w:r>
        <w:rPr>
          <w:lang w:eastAsia="lt-LT"/>
        </w:rPr>
        <w:t xml:space="preserve">Jaunimo klasių skyriaus vedėja, </w:t>
      </w:r>
    </w:p>
    <w:p w:rsidR="00312588" w:rsidRPr="00832CC9" w:rsidRDefault="00312588" w:rsidP="00312588">
      <w:pPr>
        <w:jc w:val="both"/>
      </w:pPr>
      <w:r>
        <w:rPr>
          <w:lang w:eastAsia="lt-LT"/>
        </w:rPr>
        <w:t>laikinai einanti direktoriaus pareigas</w:t>
      </w:r>
      <w:r>
        <w:rPr>
          <w:lang w:eastAsia="lt-LT"/>
        </w:rPr>
        <w:tab/>
      </w:r>
      <w:r>
        <w:rPr>
          <w:lang w:eastAsia="lt-LT"/>
        </w:rPr>
        <w:tab/>
      </w:r>
      <w:r>
        <w:rPr>
          <w:lang w:eastAsia="lt-LT"/>
        </w:rPr>
        <w:tab/>
      </w:r>
      <w:r>
        <w:rPr>
          <w:lang w:eastAsia="lt-LT"/>
        </w:rPr>
        <w:tab/>
        <w:t xml:space="preserve">Audra </w:t>
      </w:r>
      <w:r w:rsidRPr="006E0C92">
        <w:rPr>
          <w:lang w:eastAsia="lt-LT"/>
        </w:rPr>
        <w:t>Odinienė</w:t>
      </w:r>
    </w:p>
    <w:sectPr w:rsidR="00312588"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758DC">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758DC"/>
    <w:rsid w:val="0019615E"/>
    <w:rsid w:val="00312588"/>
    <w:rsid w:val="0034183E"/>
    <w:rsid w:val="004476DD"/>
    <w:rsid w:val="00597EE8"/>
    <w:rsid w:val="005B434A"/>
    <w:rsid w:val="005F495C"/>
    <w:rsid w:val="00832CC9"/>
    <w:rsid w:val="008354D5"/>
    <w:rsid w:val="008E6E82"/>
    <w:rsid w:val="00A65833"/>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2B20"/>
  <w15:docId w15:val="{C43A0D28-3837-46DA-8336-3C57C64EF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7133</Words>
  <Characters>4066</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14</cp:revision>
  <dcterms:created xsi:type="dcterms:W3CDTF">2013-10-25T06:49:00Z</dcterms:created>
  <dcterms:modified xsi:type="dcterms:W3CDTF">2022-02-25T08:16:00Z</dcterms:modified>
</cp:coreProperties>
</file>